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B8461E"/>
          <w:spacing w:val="40"/>
          <w:sz w:val="16"/>
          <w:szCs w:val="16"/>
        </w:rPr>
        <w:t xml:space="preserve">MYINVEST PRO</w:t>
      </w:r>
    </w:p>
    <w:p>
      <w:pPr>
        <w:spacing w:after="80"/>
      </w:pPr>
      <w:r>
        <w:rPr>
          <w:b/>
          <w:bCs/>
          <w:color w:val="18181B"/>
          <w:sz w:val="34"/>
          <w:szCs w:val="34"/>
        </w:rPr>
        <w:t xml:space="preserve">Vertriebspartnervertrag: Musterrahmen</w:t>
      </w:r>
    </w:p>
    <w:p>
      <w:pPr>
        <w:spacing w:after="160"/>
      </w:pPr>
      <w:r>
        <w:rPr>
          <w:color w:val="6B6B74"/>
          <w:sz w:val="22"/>
          <w:szCs w:val="22"/>
        </w:rPr>
        <w:t xml:space="preserve">Verhandlungsrahmen mit Statusprüfung und vollständigem Warnkasten zu zentralen unabdingbaren HGB-Normen</w:t>
      </w:r>
    </w:p>
    <w:p>
      <w:pPr>
        <w:pBdr>
          <w:bottom w:val="single" w:color="E4E4E8" w:sz="6" w:space="8"/>
        </w:pBdr>
        <w:spacing w:after="160"/>
      </w:pPr>
      <w:r>
        <w:rPr>
          <w:color w:val="6B6B74"/>
          <w:sz w:val="18"/>
          <w:szCs w:val="18"/>
        </w:rPr>
        <w:t xml:space="preserve">Stand: 16.08.2026 · Version 1</w:t>
      </w:r>
    </w:p>
    <w:p>
      <w:pPr>
        <w:spacing w:after="280"/>
      </w:pPr>
      <w:r>
        <w:rPr>
          <w:i/>
          <w:iCs/>
          <w:color w:val="6B6B74"/>
          <w:sz w:val="17"/>
          <w:szCs w:val="17"/>
        </w:rPr>
        <w:t xml:space="preserve">Muster zum Weiterarbeiten, nicht unterschriftsreif — die mit [ANZUPASSEN: …] markierten Stellen entscheiden Sie für Ihren Fall selbst, und auch der übrige Text passt nicht automatisch auf Ihr Vorhaben. Wir prüfen Ihren Einzelfall nicht und dürfen das auch nicht: Das ist Rechtsdienstleistung nach § 2 Abs. 1 RDG und Sache einer Rechtsanwältin oder eines Rechtsanwalts. Lassen Sie das Dokument vor der Verwendung anwaltlich prüfen. Für Inhalt, Vollständigkeit und Eignung im konkreten Fall können wir nicht einstehen. Rechtsstand: 16.08.2026 · Version 1. Recht und Rechtsprechung ändern sich — liegt dieses Datum mehr als zwölf Monate zurück, gilt: erst prüfen, dann verwenden.</w:t>
      </w:r>
    </w:p>
    <w:tbl>
      <w:tblPr>
        <w:tblW w:type="dxa" w:w="9864"/>
        <w:tblBorders>
          <w:top w:val="single" w:color="B8461E" w:sz="6"/>
          <w:left w:val="single" w:color="B8461E" w:sz="6"/>
          <w:bottom w:val="single" w:color="B8461E" w:sz="6"/>
          <w:right w:val="single" w:color="B8461E" w:sz="6"/>
          <w:insideH w:val="single" w:color="auto" w:sz="4"/>
          <w:insideV w:val="single" w:color="auto" w:sz="4"/>
        </w:tblBorders>
      </w:tblPr>
      <w:tblGrid>
        <w:gridCol w:w="9864"/>
      </w:tblGrid>
      <w:tr>
        <w:tc>
          <w:tcPr>
            <w:shd w:fill="FDF6F2" w:val="clear"/>
            <w:tcMar>
              <w:top w:type="dxa" w:w="160"/>
              <w:left w:type="dxa" w:w="200"/>
              <w:bottom w:type="dxa" w:w="160"/>
              <w:right w:type="dxa" w:w="200"/>
            </w:tcMar>
          </w:tcPr>
          <w:p>
            <w:pPr>
              <w:spacing w:after="100"/>
            </w:pPr>
            <w:r>
              <w:rPr>
                <w:b/>
                <w:bCs/>
                <w:color w:val="B8461E"/>
                <w:sz w:val="20"/>
                <w:szCs w:val="20"/>
              </w:rPr>
              <w:t xml:space="preserve">Bei Handelsvertretern nicht oder nur begrenzt abdingbar</w:t>
            </w:r>
          </w:p>
          <w:p>
            <w:pPr>
              <w:spacing w:after="90" w:line="280"/>
            </w:pPr>
            <w:r>
              <w:rPr>
                <w:color w:val="18181B"/>
                <w:sz w:val="19"/>
                <w:szCs w:val="19"/>
              </w:rPr>
              <w:t xml:space="preserve">§ 86 Abs. 4 HGB: Von den Pflichten nach § 86 Abs. 1 und 2 kann nicht abgewichen werden.</w:t>
            </w:r>
          </w:p>
          <w:p>
            <w:pPr>
              <w:spacing w:after="90" w:line="280"/>
            </w:pPr>
            <w:r>
              <w:rPr>
                <w:color w:val="18181B"/>
                <w:sz w:val="19"/>
                <w:szCs w:val="19"/>
              </w:rPr>
              <w:t xml:space="preserve">§ 86a Abs. 3 HGB: Die Unternehmerpflichten aus § 86a Abs. 1 und 2 können nicht ausgeschlossen oder beschränkt werden.</w:t>
            </w:r>
          </w:p>
          <w:p>
            <w:pPr>
              <w:spacing w:after="90" w:line="280"/>
            </w:pPr>
            <w:r>
              <w:rPr>
                <w:color w:val="18181B"/>
                <w:sz w:val="19"/>
                <w:szCs w:val="19"/>
              </w:rPr>
              <w:t xml:space="preserve">§ 87a Abs. 5 HGB: Von § 87a Abs. 1 bis 4 darf nicht zum Nachteil des Handelsvertreters abgewichen werden.</w:t>
            </w:r>
          </w:p>
          <w:p>
            <w:pPr>
              <w:spacing w:after="90" w:line="280"/>
            </w:pPr>
            <w:r>
              <w:rPr>
                <w:color w:val="18181B"/>
                <w:sz w:val="19"/>
                <w:szCs w:val="19"/>
              </w:rPr>
              <w:t xml:space="preserve">§ 87c Abs. 5 HGB: Abrechnung, Buchauszug, Auskunft und Einsicht nach § 87c können nicht ausgeschlossen oder beschränkt werden.</w:t>
            </w:r>
          </w:p>
          <w:p>
            <w:pPr>
              <w:spacing w:after="90" w:line="280"/>
            </w:pPr>
            <w:r>
              <w:rPr>
                <w:color w:val="18181B"/>
                <w:sz w:val="19"/>
                <w:szCs w:val="19"/>
              </w:rPr>
              <w:t xml:space="preserve">§ 88a Abs. 1 HGB: Auf gesetzliche Zurückbehaltungsrechte kann der Handelsvertreter nicht im Voraus verzichten.</w:t>
            </w:r>
          </w:p>
          <w:p>
            <w:pPr>
              <w:spacing w:after="90" w:line="280"/>
            </w:pPr>
            <w:r>
              <w:rPr>
                <w:color w:val="18181B"/>
                <w:sz w:val="19"/>
                <w:szCs w:val="19"/>
              </w:rPr>
              <w:t xml:space="preserve">§ 89 Abs. 2 HGB: Verlängerte Kündigungsfristen dürfen für den Unternehmer nicht kürzer sein als für den Handelsvertreter.</w:t>
            </w:r>
          </w:p>
          <w:p>
            <w:pPr>
              <w:spacing w:after="90" w:line="280"/>
            </w:pPr>
            <w:r>
              <w:rPr>
                <w:color w:val="18181B"/>
                <w:sz w:val="19"/>
                <w:szCs w:val="19"/>
              </w:rPr>
              <w:t xml:space="preserve">§ 89a Abs. 1 Satz 2 HGB: Das Recht zur fristlosen Kündigung aus wichtigem Grund kann nicht ausgeschlossen oder beschränkt werden.</w:t>
            </w:r>
          </w:p>
          <w:p>
            <w:pPr>
              <w:spacing w:after="90" w:line="280"/>
            </w:pPr>
            <w:r>
              <w:rPr>
                <w:color w:val="18181B"/>
                <w:sz w:val="19"/>
                <w:szCs w:val="19"/>
              </w:rPr>
              <w:t xml:space="preserve">§ 89b HGB: Der Ausgleichsanspruch kann im Voraus nicht ausgeschlossen werden (§ 89b Abs. 4 Satz 1).</w:t>
            </w:r>
          </w:p>
          <w:p>
            <w:pPr>
              <w:spacing w:after="0" w:line="280"/>
            </w:pPr>
            <w:r>
              <w:rPr>
                <w:color w:val="18181B"/>
                <w:sz w:val="19"/>
                <w:szCs w:val="19"/>
              </w:rPr>
              <w:t xml:space="preserve">§ 90a Abs. 4 HGB: Von den Regeln zum nachvertraglichen Wettbewerbsverbot darf nicht zum Nachteil des Handelsvertreters abgewichen werden.</w:t>
            </w:r>
          </w:p>
        </w:tc>
      </w:tr>
    </w:tbl>
    <w:p>
      <w:pPr>
        <w:spacing w:after="140" w:line="300"/>
      </w:pPr>
      <w:r>
        <w:rPr>
          <w:b/>
          <w:bCs/>
          <w:color w:val="18181B"/>
          <w:sz w:val="21"/>
          <w:szCs w:val="21"/>
        </w:rPr>
        <w:t xml:space="preserve">Die tatsächliche Durchführung entscheidet über die Einordnung nach § 84 HGB. Eine Vertragsüberschrift wie „freier Vertriebspartner“ verhindert den Handelsvertreterstatus nicht.</w:t>
      </w:r>
    </w:p>
    <w:p>
      <w:pPr>
        <w:pStyle w:val="Heading1"/>
        <w:keepNext/>
        <w:spacing w:after="120" w:before="320"/>
      </w:pPr>
      <w:r>
        <w:rPr>
          <w:b/>
          <w:bCs/>
          <w:color w:val="18181B"/>
          <w:sz w:val="26"/>
          <w:szCs w:val="26"/>
        </w:rPr>
        <w:t xml:space="preserve">1 · Parteien, Status und Vertragsgebiet</w:t>
      </w:r>
    </w:p>
    <w:p>
      <w:pPr>
        <w:spacing w:after="160" w:line="300"/>
      </w:pPr>
      <w:r>
        <w:rPr>
          <w:color w:val="18181B"/>
          <w:sz w:val="21"/>
          <w:szCs w:val="21"/>
        </w:rPr>
        <w:t xml:space="preserve">Unternehmer:</w:t>
      </w:r>
      <w:r>
        <w:rPr>
          <w:b/>
          <w:bCs/>
          <w:color w:val="B8461E"/>
          <w:sz w:val="19"/>
          <w:szCs w:val="19"/>
        </w:rPr>
        <w:t xml:space="preserve"> [ANZUPASSEN: Firma, Rechtsform, Anschrift und Vertretung einsetzen]</w:t>
      </w:r>
    </w:p>
    <w:p>
      <w:pPr>
        <w:spacing w:after="160" w:line="300"/>
      </w:pPr>
      <w:r>
        <w:rPr>
          <w:color w:val="18181B"/>
          <w:sz w:val="21"/>
          <w:szCs w:val="21"/>
        </w:rPr>
        <w:t xml:space="preserve">Vertriebspartner:</w:t>
      </w:r>
      <w:r>
        <w:rPr>
          <w:b/>
          <w:bCs/>
          <w:color w:val="B8461E"/>
          <w:sz w:val="19"/>
          <w:szCs w:val="19"/>
        </w:rPr>
        <w:t xml:space="preserve"> [ANZUPASSEN: Firma/Person, Anschrift, Register und Steuerstatus einsetzen]</w:t>
      </w:r>
    </w:p>
    <w:p>
      <w:pPr>
        <w:spacing w:after="160" w:line="300"/>
      </w:pPr>
      <w:r>
        <w:rPr>
          <w:color w:val="18181B"/>
          <w:sz w:val="21"/>
          <w:szCs w:val="21"/>
        </w:rPr>
        <w:t xml:space="preserve">Statusprüfung:</w:t>
      </w:r>
      <w:r>
        <w:rPr>
          <w:b/>
          <w:bCs/>
          <w:color w:val="B8461E"/>
          <w:sz w:val="19"/>
          <w:szCs w:val="19"/>
        </w:rPr>
        <w:t xml:space="preserve"> [ANZUPASSEN: Tätigkeit, Selbstständigkeit, Weisungsrahmen und Ergebnis der anwaltlichen Einordnung dokumentieren]</w:t>
      </w:r>
    </w:p>
    <w:p>
      <w:pPr>
        <w:spacing w:after="200" w:line="300"/>
      </w:pPr>
      <w:r>
        <w:rPr>
          <w:b/>
          <w:bCs/>
          <w:color w:val="18181B"/>
          <w:sz w:val="21"/>
          <w:szCs w:val="21"/>
        </w:rPr>
        <w:t xml:space="preserve">§ 1 Aufgabe, Gebiet und Produkte</w:t>
      </w:r>
      <w:r>
        <w:br/>
        <w:t xml:space="preserve"/>
      </w:r>
      <w:r>
        <w:rPr>
          <w:color w:val="18181B"/>
          <w:sz w:val="21"/>
          <w:szCs w:val="21"/>
        </w:rPr>
        <w:t xml:space="preserve">Der Vertriebspartner übernimmt nur die konkret bezeichneten Vermittlungs- oder Abschlusstätigkeiten. Gebiet, Projekte, Kundengruppen, Exklusivität und etwaiger Kundenschutz werden abschließend festgelegt.</w:t>
      </w:r>
      <w:r>
        <w:br/>
        <w:t xml:space="preserve"/>
      </w:r>
      <w:r>
        <w:rPr>
          <w:b/>
          <w:bCs/>
          <w:color w:val="B8461E"/>
          <w:sz w:val="20"/>
          <w:szCs w:val="20"/>
        </w:rPr>
        <w:t xml:space="preserve">[ANZUPASSEN: Tätigkeiten, Gebiet, Projekte, Zielkunden, Exklusivität und Ausnahmen einsetzen]</w:t>
      </w:r>
    </w:p>
    <w:p>
      <w:pPr>
        <w:spacing w:after="200" w:line="300"/>
      </w:pPr>
      <w:r>
        <w:rPr>
          <w:b/>
          <w:bCs/>
          <w:color w:val="18181B"/>
          <w:sz w:val="21"/>
          <w:szCs w:val="21"/>
        </w:rPr>
        <w:t xml:space="preserve">§ 2 Vollmacht und Außenauftritt</w:t>
      </w:r>
      <w:r>
        <w:br/>
        <w:t xml:space="preserve"/>
      </w:r>
      <w:r>
        <w:rPr>
          <w:color w:val="18181B"/>
          <w:sz w:val="21"/>
          <w:szCs w:val="21"/>
        </w:rPr>
        <w:t xml:space="preserve">Eine Abschluss-, Inkasso-, Preisänderungs- oder Zusagevollmacht besteht nur, soweit sie ausdrücklich schriftlich erteilt ist. Freigegebene Aussagen, Unterlagen und Markenregeln sind einzuhalten.</w:t>
      </w:r>
      <w:r>
        <w:br/>
        <w:t xml:space="preserve"/>
      </w:r>
      <w:r>
        <w:rPr>
          <w:b/>
          <w:bCs/>
          <w:color w:val="B8461E"/>
          <w:sz w:val="20"/>
          <w:szCs w:val="20"/>
        </w:rPr>
        <w:t xml:space="preserve">[ANZUPASSEN: erteilte Vollmachten, Freigabeweg und zulässige Kommunikationsmittel einsetzen]</w:t>
      </w:r>
    </w:p>
    <w:p>
      <w:pPr>
        <w:spacing w:after="200" w:line="300"/>
      </w:pPr>
      <w:r>
        <w:rPr>
          <w:b/>
          <w:bCs/>
          <w:color w:val="18181B"/>
          <w:sz w:val="21"/>
          <w:szCs w:val="21"/>
        </w:rPr>
        <w:t xml:space="preserve">§ 3 Pflichten und Unterstützung</w:t>
      </w:r>
      <w:r>
        <w:br/>
        <w:t xml:space="preserve"/>
      </w:r>
      <w:r>
        <w:rPr>
          <w:color w:val="18181B"/>
          <w:sz w:val="21"/>
          <w:szCs w:val="21"/>
        </w:rPr>
        <w:t xml:space="preserve">Der Vertriebspartner wahrt die Interessen des Unternehmers und berichtet über Vermittlungen und Abschlüsse. Der Unternehmer stellt die erforderlichen Unterlagen und Nachrichten bereit. Zwingende Pflichten aus §§ 86 und 86a HGB bleiben unberührt.</w:t>
      </w:r>
      <w:r>
        <w:br/>
        <w:t xml:space="preserve"/>
      </w:r>
      <w:r>
        <w:rPr>
          <w:b/>
          <w:bCs/>
          <w:color w:val="B8461E"/>
          <w:sz w:val="20"/>
          <w:szCs w:val="20"/>
        </w:rPr>
        <w:t xml:space="preserve">[ANZUPASSEN: Berichtsweg, CRM-Pflichten, Unterlagen, Schulungen und Reaktionszeiten einsetzen]</w:t>
      </w:r>
    </w:p>
    <w:p>
      <w:pPr>
        <w:spacing w:after="200" w:line="300"/>
      </w:pPr>
      <w:r>
        <w:rPr>
          <w:b/>
          <w:bCs/>
          <w:color w:val="18181B"/>
          <w:sz w:val="21"/>
          <w:szCs w:val="21"/>
        </w:rPr>
        <w:t xml:space="preserve">§ 4 Provision, Entstehung und Fälligkeit</w:t>
      </w:r>
      <w:r>
        <w:br/>
        <w:t xml:space="preserve"/>
      </w:r>
      <w:r>
        <w:rPr>
          <w:color w:val="18181B"/>
          <w:sz w:val="21"/>
          <w:szCs w:val="21"/>
        </w:rPr>
        <w:t xml:space="preserve">Provisionspflichtige Geschäfte, Bemessungsgrundlage, Satz und Umsatzsteuer werden transparent beschrieben. Entstehung, Wegfall, Nichtausführung und Fälligkeit richten sich bei Handelsvertretern mindestens nach den unabdingbaren Grenzen des § 87a HGB.</w:t>
      </w:r>
      <w:r>
        <w:br/>
        <w:t xml:space="preserve"/>
      </w:r>
      <w:r>
        <w:rPr>
          <w:b/>
          <w:bCs/>
          <w:color w:val="B8461E"/>
          <w:sz w:val="20"/>
          <w:szCs w:val="20"/>
        </w:rPr>
        <w:t xml:space="preserve">[ANZUPASSEN: Geschäftstypen, Provisionssätze, Bemessungsgrundlage und Abrechnungsbeispiele einsetzen]</w:t>
      </w:r>
    </w:p>
    <w:p>
      <w:pPr>
        <w:spacing w:after="200" w:line="300"/>
      </w:pPr>
      <w:r>
        <w:rPr>
          <w:b/>
          <w:bCs/>
          <w:color w:val="18181B"/>
          <w:sz w:val="21"/>
          <w:szCs w:val="21"/>
        </w:rPr>
        <w:t xml:space="preserve">§ 5 Abrechnung und Buchauszug</w:t>
      </w:r>
      <w:r>
        <w:br/>
        <w:t xml:space="preserve"/>
      </w:r>
      <w:r>
        <w:rPr>
          <w:color w:val="18181B"/>
          <w:sz w:val="21"/>
          <w:szCs w:val="21"/>
        </w:rPr>
        <w:t xml:space="preserve">Der Unternehmer rechnet innerhalb der gesetzlichen oder günstigeren vereinbarten Frist nachvollziehbar ab. Rechte auf Buchauszug, Auskunft und erforderliche Einsicht nach § 87c HGB werden nicht ausgeschlossen oder beschränkt.</w:t>
      </w:r>
      <w:r>
        <w:br/>
        <w:t xml:space="preserve"/>
      </w:r>
      <w:r>
        <w:rPr>
          <w:b/>
          <w:bCs/>
          <w:color w:val="B8461E"/>
          <w:sz w:val="20"/>
          <w:szCs w:val="20"/>
        </w:rPr>
        <w:t xml:space="preserve">[ANZUPASSEN: Abrechnungsperiode, Datenfelder, Portal/Übermittlungsweg und Ansprechpartner einsetzen]</w:t>
      </w:r>
    </w:p>
    <w:p>
      <w:pPr>
        <w:spacing w:after="200" w:line="300"/>
      </w:pPr>
      <w:r>
        <w:rPr>
          <w:b/>
          <w:bCs/>
          <w:color w:val="18181B"/>
          <w:sz w:val="21"/>
          <w:szCs w:val="21"/>
        </w:rPr>
        <w:t xml:space="preserve">§ 6 Kosten, Arbeitsmittel und Zugänge</w:t>
      </w:r>
      <w:r>
        <w:br/>
        <w:t xml:space="preserve"/>
      </w:r>
      <w:r>
        <w:rPr>
          <w:color w:val="18181B"/>
          <w:sz w:val="21"/>
          <w:szCs w:val="21"/>
        </w:rPr>
        <w:t xml:space="preserve">Kosten und Arbeitsmittel werden nach Art, Betrag und Verantwortlichkeit getrennt festgelegt. Erforderliche Unterlagen des Unternehmers und zwingende gesetzliche Ansprüche bleiben unberührt.</w:t>
      </w:r>
      <w:r>
        <w:br/>
        <w:t xml:space="preserve"/>
      </w:r>
      <w:r>
        <w:rPr>
          <w:b/>
          <w:bCs/>
          <w:color w:val="B8461E"/>
          <w:sz w:val="20"/>
          <w:szCs w:val="20"/>
        </w:rPr>
        <w:t xml:space="preserve">[ANZUPASSEN: erstattungsfähige Kosten, Reiseregeln, Geräte, Lizenzen und Rückgabeprozess einsetzen]</w:t>
      </w:r>
    </w:p>
    <w:p>
      <w:pPr>
        <w:spacing w:after="200" w:line="300"/>
      </w:pPr>
      <w:r>
        <w:rPr>
          <w:b/>
          <w:bCs/>
          <w:color w:val="18181B"/>
          <w:sz w:val="21"/>
          <w:szCs w:val="21"/>
        </w:rPr>
        <w:t xml:space="preserve">§ 7 Datenschutz und Vertraulichkeit</w:t>
      </w:r>
      <w:r>
        <w:br/>
        <w:t xml:space="preserve"/>
      </w:r>
      <w:r>
        <w:rPr>
          <w:color w:val="18181B"/>
          <w:sz w:val="21"/>
          <w:szCs w:val="21"/>
        </w:rPr>
        <w:t xml:space="preserve">Die Parteien legen Rollen, Weisungswege, Zugriffe, Löschfristen und Vorfallmeldungen fest. Geschäftsgeheimnisse werden anhand konkreter Kategorien und angemessener Schutzmaßnahmen behandelt; gesetzliche Offenlegungsrechte bleiben unberührt.</w:t>
      </w:r>
      <w:r>
        <w:br/>
        <w:t xml:space="preserve"/>
      </w:r>
      <w:r>
        <w:rPr>
          <w:b/>
          <w:bCs/>
          <w:color w:val="B8461E"/>
          <w:sz w:val="20"/>
          <w:szCs w:val="20"/>
        </w:rPr>
        <w:t xml:space="preserve">[ANZUPASSEN: DSGVO-Rollen, Datenkategorien, Systemzugriffe, Löschfristen und Geheimnisklassen einsetzen]</w:t>
      </w:r>
    </w:p>
    <w:p>
      <w:r>
        <w:br w:type="page"/>
      </w:r>
    </w:p>
    <w:p>
      <w:pPr>
        <w:spacing w:after="200" w:line="300"/>
      </w:pPr>
      <w:r>
        <w:rPr>
          <w:b/>
          <w:bCs/>
          <w:color w:val="18181B"/>
          <w:sz w:val="21"/>
          <w:szCs w:val="21"/>
        </w:rPr>
        <w:t xml:space="preserve">§ 8 Laufzeit und Kündigung</w:t>
      </w:r>
      <w:r>
        <w:br/>
        <w:t xml:space="preserve"/>
      </w:r>
      <w:r>
        <w:rPr>
          <w:color w:val="18181B"/>
          <w:sz w:val="21"/>
          <w:szCs w:val="21"/>
        </w:rPr>
        <w:t xml:space="preserve">Vertragsbeginn, Laufzeit und ordentliche Kündigung werden festgelegt. Zwingende oder halb zwingende Kündigungsregeln, insbesondere §§ 89 und 89a HGB, gehen vor.</w:t>
      </w:r>
      <w:r>
        <w:br/>
        <w:t xml:space="preserve"/>
      </w:r>
      <w:r>
        <w:rPr>
          <w:b/>
          <w:bCs/>
          <w:color w:val="B8461E"/>
          <w:sz w:val="20"/>
          <w:szCs w:val="20"/>
        </w:rPr>
        <w:t xml:space="preserve">[ANZUPASSEN: Beginn, Befristung, Kündigungsfristen und zulässige Form einsetzen]</w:t>
      </w:r>
    </w:p>
    <w:p>
      <w:pPr>
        <w:spacing w:after="200" w:line="300"/>
      </w:pPr>
      <w:r>
        <w:rPr>
          <w:b/>
          <w:bCs/>
          <w:color w:val="18181B"/>
          <w:sz w:val="21"/>
          <w:szCs w:val="21"/>
        </w:rPr>
        <w:t xml:space="preserve">§ 9 Beendigung, Ausgleich und offene Geschäfte</w:t>
      </w:r>
      <w:r>
        <w:br/>
        <w:t xml:space="preserve"/>
      </w:r>
      <w:r>
        <w:rPr>
          <w:color w:val="18181B"/>
          <w:sz w:val="21"/>
          <w:szCs w:val="21"/>
        </w:rPr>
        <w:t xml:space="preserve">Bei Vertragsende werden Zugänge gesperrt, Unterlagen geordnet zurückgegeben und offene Geschäfte abgerechnet. Ein möglicher Ausgleichsanspruch nach § 89b HGB wird nicht im Voraus ausgeschlossen; Voraussetzungen und Höhe werden nach Vertragsende anhand der gesetzlichen Kriterien geprüft.</w:t>
      </w:r>
      <w:r>
        <w:br/>
        <w:t xml:space="preserve"/>
      </w:r>
      <w:r>
        <w:rPr>
          <w:b/>
          <w:bCs/>
          <w:color w:val="B8461E"/>
          <w:sz w:val="20"/>
          <w:szCs w:val="20"/>
        </w:rPr>
        <w:t xml:space="preserve">[ANZUPASSEN: Offboarding, Stichtag, Datenexport, offene Pipeline und Abrechnungsverantwortung einsetzen]</w:t>
      </w:r>
    </w:p>
    <w:p>
      <w:pPr>
        <w:spacing w:after="200" w:line="300"/>
      </w:pPr>
      <w:r>
        <w:rPr>
          <w:b/>
          <w:bCs/>
          <w:color w:val="18181B"/>
          <w:sz w:val="21"/>
          <w:szCs w:val="21"/>
        </w:rPr>
        <w:t xml:space="preserve">§ 10 Nachvertragliches Wettbewerbsverbot</w:t>
      </w:r>
      <w:r>
        <w:br/>
        <w:t xml:space="preserve"/>
      </w:r>
      <w:r>
        <w:rPr>
          <w:color w:val="18181B"/>
          <w:sz w:val="21"/>
          <w:szCs w:val="21"/>
        </w:rPr>
        <w:t xml:space="preserve">Ein nachvertragliches Wettbewerbsverbot wird nur aufgenommen, wenn Anlass, Gebiet, Kundengruppe, Gegenstand, Höchstdauer und Entschädigung nach § 90a HGB anwaltlich geprüft sind. Ohne ausgefüllte und geprüfte Regelung besteht an dieser Stelle kein Wettbewerbsverbot.</w:t>
      </w:r>
      <w:r>
        <w:br/>
        <w:t xml:space="preserve"/>
      </w:r>
      <w:r>
        <w:rPr>
          <w:b/>
          <w:bCs/>
          <w:color w:val="B8461E"/>
          <w:sz w:val="20"/>
          <w:szCs w:val="20"/>
        </w:rPr>
        <w:t xml:space="preserve">[ANZUPASSEN: entweder geprüfte Regelung vollständig einsetzen oder die Klausel ersatzlos entfernen]</w:t>
      </w:r>
    </w:p>
    <w:p>
      <w:pPr>
        <w:pStyle w:val="Heading1"/>
        <w:keepNext/>
        <w:spacing w:after="120" w:before="320"/>
      </w:pPr>
      <w:r>
        <w:rPr>
          <w:b/>
          <w:bCs/>
          <w:color w:val="18181B"/>
          <w:sz w:val="26"/>
          <w:szCs w:val="26"/>
        </w:rPr>
        <w:t xml:space="preserve">2 · Anlagen und Freigabe</w:t>
      </w:r>
    </w:p>
    <w:p>
      <w:pPr>
        <w:spacing w:after="160" w:line="300"/>
      </w:pPr>
      <w:r>
        <w:rPr>
          <w:color w:val="18181B"/>
          <w:sz w:val="21"/>
          <w:szCs w:val="21"/>
        </w:rPr>
        <w:t xml:space="preserve">Vertragsanlagen:</w:t>
      </w:r>
      <w:r>
        <w:rPr>
          <w:b/>
          <w:bCs/>
          <w:color w:val="B8461E"/>
          <w:sz w:val="19"/>
          <w:szCs w:val="19"/>
        </w:rPr>
        <w:t xml:space="preserve"> [ANZUPASSEN: Provisionsblatt, Gebiets-/Projektliste, Vollmachten, Datenschutzanlage und Markenrichtlinie mit Versionen aufführen]</w:t>
      </w:r>
    </w:p>
    <w:p>
      <w:pPr>
        <w:spacing w:after="160" w:line="300"/>
      </w:pPr>
      <w:r>
        <w:rPr>
          <w:color w:val="18181B"/>
          <w:sz w:val="21"/>
          <w:szCs w:val="21"/>
        </w:rPr>
        <w:t xml:space="preserve">Anwaltliche Freigabe:</w:t>
      </w:r>
      <w:r>
        <w:rPr>
          <w:b/>
          <w:bCs/>
          <w:color w:val="B8461E"/>
          <w:sz w:val="19"/>
          <w:szCs w:val="19"/>
        </w:rPr>
        <w:t xml:space="preserve"> [ANZUPASSEN: prüfende Person, Datum und freigegebene Dokumentversion einsetzen]</w:t>
      </w:r>
    </w:p>
    <w:p>
      <w:pPr>
        <w:pBdr>
          <w:bottom w:val="single" w:color="B9B9C0" w:sz="6" w:space="2"/>
        </w:pBdr>
        <w:spacing w:after="0" w:before="420"/>
      </w:pPr>
      <w:r>
        <w:rPr>
          <w:sz w:val="21"/>
          <w:szCs w:val="21"/>
        </w:rPr>
        <w:t xml:space="preserve"> </w:t>
      </w:r>
    </w:p>
    <w:p>
      <w:pPr>
        <w:spacing w:after="120"/>
      </w:pPr>
      <w:r>
        <w:rPr>
          <w:color w:val="6B6B74"/>
          <w:sz w:val="17"/>
          <w:szCs w:val="17"/>
        </w:rPr>
        <w:t xml:space="preserve">Ort, Datum · Unternehmer</w:t>
      </w:r>
    </w:p>
    <w:p>
      <w:pPr>
        <w:pBdr>
          <w:bottom w:val="single" w:color="B9B9C0" w:sz="6" w:space="2"/>
        </w:pBdr>
        <w:spacing w:after="0" w:before="420"/>
      </w:pPr>
      <w:r>
        <w:rPr>
          <w:sz w:val="21"/>
          <w:szCs w:val="21"/>
        </w:rPr>
        <w:t xml:space="preserve"> </w:t>
      </w:r>
    </w:p>
    <w:p>
      <w:pPr>
        <w:spacing w:after="120"/>
      </w:pPr>
      <w:r>
        <w:rPr>
          <w:color w:val="6B6B74"/>
          <w:sz w:val="17"/>
          <w:szCs w:val="17"/>
        </w:rPr>
        <w:t xml:space="preserve">Ort, Datum · Vertriebspartner</w:t>
      </w:r>
    </w:p>
    <w:p>
      <w:pPr>
        <w:pStyle w:val="Heading1"/>
        <w:keepNext/>
        <w:spacing w:after="120" w:before="320"/>
      </w:pPr>
      <w:r>
        <w:rPr>
          <w:b/>
          <w:bCs/>
          <w:color w:val="18181B"/>
          <w:sz w:val="26"/>
          <w:szCs w:val="26"/>
        </w:rPr>
        <w:t xml:space="preserve">Primärquellen und Prüfstand</w:t>
      </w:r>
    </w:p>
    <w:p>
      <w:pPr>
        <w:spacing w:after="140" w:line="300"/>
      </w:pPr>
      <w:r>
        <w:rPr>
          <w:b w:val="false"/>
          <w:bCs w:val="false"/>
          <w:color w:val="6B6B74"/>
          <w:sz w:val="17"/>
          <w:szCs w:val="17"/>
        </w:rPr>
        <w:t xml:space="preserve">Die folgenden Fundstellen begründen die gesetzlichen Leitplanken dieses Musters. Die Liste ersetzt weder die Prüfung der aktuellen Fassung noch die Prüfung des Einzelfalls.</w:t>
      </w:r>
    </w:p>
    <w:p>
      <w:pPr>
        <w:spacing w:after="140" w:line="300"/>
      </w:pPr>
      <w:r>
        <w:rPr>
          <w:b w:val="false"/>
          <w:bCs w:val="false"/>
          <w:color w:val="18181B"/>
          <w:sz w:val="17"/>
          <w:szCs w:val="17"/>
        </w:rPr>
        <w:t xml:space="preserve">HGB §§ 84 bis 92c — Handelsvertreterrecht, insbesondere die oben genannten Schutzvorschriften — https://www.gesetze-im-internet.de/hgb/BJNR002190897.html#BJNR002190897BJNG005303140</w:t>
      </w:r>
    </w:p>
    <w:p>
      <w:pPr>
        <w:spacing w:after="140" w:line="300"/>
      </w:pPr>
      <w:r>
        <w:rPr>
          <w:b w:val="false"/>
          <w:bCs w:val="false"/>
          <w:color w:val="18181B"/>
          <w:sz w:val="17"/>
          <w:szCs w:val="17"/>
        </w:rPr>
        <w:t xml:space="preserve">GeschGehG §§ 2 bis 5 — Geschäftsgeheimnisse und angemessene Schutzmaßnahmen — https://www.gesetze-im-internet.de/geschgehg/</w:t>
      </w:r>
    </w:p>
    <w:p>
      <w:pPr>
        <w:spacing w:after="140" w:line="300"/>
      </w:pPr>
      <w:r>
        <w:rPr>
          <w:b w:val="false"/>
          <w:bCs w:val="false"/>
          <w:color w:val="18181B"/>
          <w:sz w:val="17"/>
          <w:szCs w:val="17"/>
        </w:rPr>
        <w:t xml:space="preserve">DSGVO — Rollen, Rechtsgrundlagen, Transparenz und Sicherheit — https://eur-lex.europa.eu/eli/reg/2016/679/oj?locale=de</w:t>
      </w:r>
    </w:p>
    <w:sectPr>
      <w:headerReference w:type="default" r:id="rId7"/>
      <w:footerReference w:type="default" r:id="rId8"/>
      <w:pgSz w:w="11906" w:h="16838" w:orient="portrait"/>
      <w:pgMar w:top="1134" w:right="1021" w:bottom="1247" w:left="102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6B6B74"/>
        <w:sz w:val="15"/>
        <w:szCs w:val="15"/>
      </w:rPr>
      <w:t xml:space="preserve">Stand 16.08.2026 · myinvest-pro.de · Seite </w:t>
    </w:r>
    <w:r>
      <w:rPr>
        <w:color w:val="6B6B74"/>
        <w:sz w:val="15"/>
        <w:szCs w:val="15"/>
      </w:rPr>
      <w:fldChar w:fldCharType="begin"/>
      <w:instrText xml:space="preserve">PAGE</w:instrText>
      <w:fldChar w:fldCharType="separate"/>
      <w:fldChar w:fldCharType="end"/>
    </w:r>
    <w:r>
      <w:rPr>
        <w:color w:val="6B6B74"/>
        <w:sz w:val="15"/>
        <w:szCs w:val="15"/>
      </w:rPr>
      <w:t xml:space="preserve"> von </w:t>
    </w:r>
    <w:r>
      <w:rPr>
        <w:color w:val="6B6B74"/>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B6B74"/>
        <w:sz w:val="15"/>
        <w:szCs w:val="15"/>
      </w:rPr>
      <w:t xml:space="preserve">Vertriebspartnervertrag: Musterrahmen · MyInvest Pro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8181B"/>
        <w:sz w:val="21"/>
        <w:szCs w:val="21"/>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Vertriebspartnervertrag: Musterrahmen</dc:title>
  <dc:creator>MyInvest Pro</dc:creator>
  <dc:description>Verhandlungsrahmen mit Statusprüfung und vollständigem Warnkasten zu zentralen unabdingbaren HGB-Normen</dc:description>
  <cp:lastModifiedBy>MyInvest Pro</cp:lastModifiedBy>
  <cp:revision>1</cp:revision>
  <dcterms:created xsi:type="dcterms:W3CDTF">2026-08-16T00:00:00Z</dcterms:created>
  <dcterms:modified xsi:type="dcterms:W3CDTF">2026-08-16T00:00:00Z</dcterms:modified>
</cp:coreProperties>
</file>

<file path=docProps/custom.xml><?xml version="1.0" encoding="utf-8"?>
<Properties xmlns="http://schemas.openxmlformats.org/officeDocument/2006/custom-properties" xmlns:vt="http://schemas.openxmlformats.org/officeDocument/2006/docPropsVTypes"/>
</file>